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SC announcement headline"/>
      </w:pPr>
      <w:r>
        <w:rPr>
          <w:rtl w:val="0"/>
          <w:lang w:val="en-US"/>
        </w:rPr>
        <w:t>ISC/SCI Ewart-Daveluy Award</w:t>
      </w:r>
    </w:p>
    <w:p>
      <w:pPr>
        <w:pStyle w:val="ISC announcement headline"/>
      </w:pPr>
      <w:r>
        <w:rPr>
          <w:rtl w:val="0"/>
          <w:lang w:val="en-US"/>
        </w:rPr>
        <w:t>2025 Submission Form</w:t>
      </w:r>
    </w:p>
    <w:p>
      <w:pPr>
        <w:pStyle w:val="ISC Paragraph"/>
      </w:pPr>
      <w:r>
        <w:rPr>
          <w:rtl w:val="0"/>
          <w:lang w:val="en-US"/>
        </w:rPr>
        <w:t>Please note:</w:t>
      </w:r>
    </w:p>
    <w:p>
      <w:pPr>
        <w:pStyle w:val="ISC Bullets paragraph"/>
        <w:numPr>
          <w:ilvl w:val="0"/>
          <w:numId w:val="2"/>
        </w:numPr>
        <w:rPr>
          <w:lang w:val="en-US"/>
        </w:rPr>
      </w:pPr>
      <w:r>
        <w:rPr>
          <w:rtl w:val="0"/>
          <w:lang w:val="en-US"/>
        </w:rPr>
        <w:t>Discussions and decisions of the judges are confidential. Feedback will be provided to up to three runners-up. Feedback will be private and the names of the runners-up will not be publicized.</w:t>
      </w:r>
    </w:p>
    <w:p>
      <w:pPr>
        <w:pStyle w:val="ISC Bullets paragraph"/>
        <w:numPr>
          <w:ilvl w:val="0"/>
          <w:numId w:val="2"/>
        </w:numPr>
        <w:rPr>
          <w:lang w:val="en-US"/>
        </w:rPr>
      </w:pPr>
      <w:r>
        <w:rPr>
          <w:rtl w:val="0"/>
          <w:lang w:val="en-US"/>
        </w:rPr>
        <w:t>Due to the small size of the organization, anonymity cannot be preserved within the committee.</w:t>
      </w:r>
    </w:p>
    <w:p>
      <w:pPr>
        <w:pStyle w:val="ISC Bullets paragraph"/>
        <w:numPr>
          <w:ilvl w:val="0"/>
          <w:numId w:val="2"/>
        </w:numPr>
        <w:rPr>
          <w:lang w:val="en-US"/>
        </w:rPr>
      </w:pPr>
      <w:r>
        <w:rPr>
          <w:rtl w:val="0"/>
          <w:lang w:val="en-US"/>
        </w:rPr>
        <w:t xml:space="preserve">To arrange for sending your submission or for more information, contact Stephen Ullstrom, the 2025 Ewart-Daveluy Award coordinator, at </w:t>
      </w:r>
      <w:r>
        <w:rPr>
          <w:rStyle w:val="Hyperlink.0"/>
        </w:rPr>
        <w:fldChar w:fldCharType="begin" w:fldLock="0"/>
      </w:r>
      <w:r>
        <w:rPr>
          <w:rStyle w:val="Hyperlink.0"/>
        </w:rPr>
        <w:instrText xml:space="preserve"> HYPERLINK "mailto:awards@indexers.ca"</w:instrText>
      </w:r>
      <w:r>
        <w:rPr>
          <w:rStyle w:val="Hyperlink.0"/>
        </w:rPr>
        <w:fldChar w:fldCharType="separate" w:fldLock="0"/>
      </w:r>
      <w:r>
        <w:rPr>
          <w:rStyle w:val="Hyperlink.0"/>
          <w:rtl w:val="0"/>
          <w:lang w:val="en-US"/>
        </w:rPr>
        <w:t>awards@indexers.ca</w:t>
      </w:r>
      <w:r>
        <w:rPr/>
        <w:fldChar w:fldCharType="end" w:fldLock="0"/>
      </w:r>
      <w:r>
        <w:rPr>
          <w:rStyle w:val="None"/>
          <w:rtl w:val="0"/>
          <w:lang w:val="en-US"/>
        </w:rPr>
        <w:t>.</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58"/>
        <w:gridCol w:w="3330"/>
        <w:gridCol w:w="1440"/>
        <w:gridCol w:w="3348"/>
      </w:tblGrid>
      <w:tr>
        <w:tblPrEx>
          <w:shd w:val="clear" w:color="auto" w:fill="ced7e7"/>
        </w:tblPrEx>
        <w:trPr>
          <w:trHeight w:val="320" w:hRule="atLeast"/>
        </w:trPr>
        <w:tc>
          <w:tcPr>
            <w:tcW w:type="dxa" w:w="9576"/>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heading"/>
            </w:pPr>
            <w:r>
              <w:rPr>
                <w:rStyle w:val="None"/>
                <w:shd w:val="nil" w:color="auto" w:fill="auto"/>
                <w:rtl w:val="0"/>
                <w:lang w:val="en-US"/>
              </w:rPr>
              <w:t>Submitter</w:t>
            </w:r>
            <w:r>
              <w:rPr>
                <w:rStyle w:val="None"/>
                <w:shd w:val="nil" w:color="auto" w:fill="auto"/>
                <w:rtl w:val="0"/>
                <w:lang w:val="en-US"/>
              </w:rPr>
              <w:t>’</w:t>
            </w:r>
            <w:r>
              <w:rPr>
                <w:rStyle w:val="None"/>
                <w:shd w:val="nil" w:color="auto" w:fill="auto"/>
                <w:rtl w:val="0"/>
                <w:lang w:val="en-US"/>
              </w:rPr>
              <w:t>s Information</w:t>
            </w:r>
          </w:p>
        </w:tc>
      </w:tr>
      <w:tr>
        <w:tblPrEx>
          <w:shd w:val="clear" w:color="auto" w:fill="ced7e7"/>
        </w:tblPrEx>
        <w:trPr>
          <w:trHeight w:val="320" w:hRule="atLeast"/>
        </w:trPr>
        <w:tc>
          <w:tcPr>
            <w:tcW w:type="dxa" w:w="14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Name</w:t>
            </w:r>
          </w:p>
        </w:tc>
        <w:tc>
          <w:tcPr>
            <w:tcW w:type="dxa" w:w="8118"/>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1040" w:hRule="atLeast"/>
        </w:trPr>
        <w:tc>
          <w:tcPr>
            <w:tcW w:type="dxa" w:w="14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Address</w:t>
            </w:r>
          </w:p>
        </w:tc>
        <w:tc>
          <w:tcPr>
            <w:tcW w:type="dxa" w:w="8118"/>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rPr>
                <w:rStyle w:val="None"/>
                <w:shd w:val="nil" w:color="auto" w:fill="auto"/>
              </w:rPr>
            </w:pPr>
            <w:r>
              <w:rPr>
                <w:rStyle w:val="None"/>
                <w:shd w:val="nil" w:color="auto" w:fill="auto"/>
                <w:rtl w:val="0"/>
                <w:lang w:val="en-US"/>
              </w:rPr>
              <w:t>Street:</w:t>
            </w:r>
          </w:p>
          <w:p>
            <w:pPr>
              <w:pStyle w:val="ISC tabletext"/>
              <w:bidi w:val="0"/>
              <w:ind w:left="0" w:right="0" w:firstLine="0"/>
              <w:jc w:val="left"/>
              <w:rPr>
                <w:rtl w:val="0"/>
              </w:rPr>
            </w:pPr>
            <w:r>
              <w:rPr>
                <w:rStyle w:val="None"/>
                <w:shd w:val="nil" w:color="auto" w:fill="auto"/>
                <w:rtl w:val="0"/>
                <w:lang w:val="en-US"/>
              </w:rPr>
              <w:t>City:                                                                Prov.:                        Postal code:</w:t>
            </w:r>
          </w:p>
        </w:tc>
      </w:tr>
      <w:tr>
        <w:tblPrEx>
          <w:shd w:val="clear" w:color="auto" w:fill="ced7e7"/>
        </w:tblPrEx>
        <w:trPr>
          <w:trHeight w:val="320" w:hRule="atLeast"/>
        </w:trPr>
        <w:tc>
          <w:tcPr>
            <w:tcW w:type="dxa" w:w="14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Email</w:t>
            </w:r>
          </w:p>
        </w:tc>
        <w:tc>
          <w:tcPr>
            <w:tcW w:type="dxa" w:w="8118"/>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145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Phone, office</w:t>
            </w:r>
          </w:p>
        </w:tc>
        <w:tc>
          <w:tcPr>
            <w:tcW w:type="dxa" w:w="33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Phone, other</w:t>
            </w:r>
          </w:p>
        </w:tc>
        <w:tc>
          <w:tcPr>
            <w:tcW w:type="dxa" w:w="334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ISC Bullets paragraph"/>
        <w:widowControl w:val="0"/>
        <w:numPr>
          <w:ilvl w:val="0"/>
          <w:numId w:val="3"/>
        </w:numPr>
      </w:pPr>
    </w:p>
    <w:p>
      <w:pPr>
        <w:pStyle w:val="ISC Bullets paragraph"/>
        <w:widowControl w:val="0"/>
        <w:numPr>
          <w:ilvl w:val="0"/>
          <w:numId w:val="2"/>
        </w:numPr>
      </w:pPr>
    </w:p>
    <w:p>
      <w:pPr>
        <w:pStyle w:val="ISC Paragraph"/>
      </w:pP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7596"/>
      </w:tblGrid>
      <w:tr>
        <w:tblPrEx>
          <w:shd w:val="clear" w:color="auto" w:fill="ced7e7"/>
        </w:tblPrEx>
        <w:trPr>
          <w:trHeight w:val="320" w:hRule="atLeast"/>
        </w:trPr>
        <w:tc>
          <w:tcPr>
            <w:tcW w:type="dxa" w:w="9576"/>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heading"/>
            </w:pPr>
            <w:r>
              <w:rPr>
                <w:rStyle w:val="None"/>
                <w:shd w:val="nil" w:color="auto" w:fill="auto"/>
                <w:rtl w:val="0"/>
                <w:lang w:val="en-US"/>
              </w:rPr>
              <w:t>Book Information</w:t>
            </w:r>
          </w:p>
        </w:tc>
      </w:tr>
      <w:tr>
        <w:tblPrEx>
          <w:shd w:val="clear" w:color="auto" w:fill="ced7e7"/>
        </w:tblPrEx>
        <w:trPr>
          <w:trHeight w:val="320" w:hRule="atLeast"/>
        </w:trPr>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Author</w:t>
            </w:r>
          </w:p>
        </w:tc>
        <w:tc>
          <w:tcPr>
            <w:tcW w:type="dxa" w:w="75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Title</w:t>
            </w:r>
          </w:p>
        </w:tc>
        <w:tc>
          <w:tcPr>
            <w:tcW w:type="dxa" w:w="75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Publisher</w:t>
            </w:r>
          </w:p>
        </w:tc>
        <w:tc>
          <w:tcPr>
            <w:tcW w:type="dxa" w:w="75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Date</w:t>
            </w:r>
          </w:p>
        </w:tc>
        <w:tc>
          <w:tcPr>
            <w:tcW w:type="dxa" w:w="75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1520" w:hRule="atLeast"/>
        </w:trPr>
        <w:tc>
          <w:tcPr>
            <w:tcW w:type="dxa" w:w="198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Name and email of the contact person at the press</w:t>
            </w:r>
          </w:p>
        </w:tc>
        <w:tc>
          <w:tcPr>
            <w:tcW w:type="dxa" w:w="75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ISC Paragraph"/>
        <w:widowControl w:val="0"/>
        <w:ind w:left="108" w:hanging="108"/>
      </w:pPr>
    </w:p>
    <w:p>
      <w:pPr>
        <w:pStyle w:val="ISC Paragraph"/>
        <w:widowControl w:val="0"/>
      </w:pPr>
    </w:p>
    <w:p>
      <w:pPr>
        <w:pStyle w:val="ISC Subhead"/>
      </w:pPr>
      <w:r>
        <w:rPr>
          <w:rStyle w:val="None"/>
          <w:rtl w:val="0"/>
          <w:lang w:val="en-US"/>
        </w:rPr>
        <w:t>Description of Merit</w:t>
      </w:r>
    </w:p>
    <w:p>
      <w:pPr>
        <w:pStyle w:val="ISC tabletext"/>
      </w:pPr>
      <w:r>
        <w:rPr>
          <w:rStyle w:val="None"/>
          <w:rtl w:val="0"/>
          <w:lang w:val="en-US"/>
        </w:rPr>
        <w:t>In about 500 words, please make a case for why this index deserves the award. What particular challenges did you face in content and process? Be sure to indicate any other background the panel should be aware of. If you have supporting materials such as publishers</w:t>
      </w:r>
      <w:r>
        <w:rPr>
          <w:rStyle w:val="None"/>
          <w:rtl w:val="0"/>
          <w:lang w:val="en-US"/>
        </w:rPr>
        <w:t xml:space="preserve">’ </w:t>
      </w:r>
      <w:r>
        <w:rPr>
          <w:rStyle w:val="None"/>
          <w:rtl w:val="0"/>
          <w:lang w:val="en-US"/>
        </w:rPr>
        <w:t>letters, you may include copies.</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58"/>
        <w:gridCol w:w="8118"/>
      </w:tblGrid>
      <w:tr>
        <w:tblPrEx>
          <w:shd w:val="clear" w:color="auto" w:fill="ced7e7"/>
        </w:tblPrEx>
        <w:trPr>
          <w:trHeight w:val="320" w:hRule="atLeast"/>
        </w:trPr>
        <w:tc>
          <w:tcPr>
            <w:tcW w:type="dxa" w:w="9576"/>
            <w:gridSpan w:val="2"/>
            <w:tcBorders>
              <w:top w:val="nil"/>
              <w:left w:val="nil"/>
              <w:bottom w:val="nil"/>
              <w:right w:val="nil"/>
            </w:tcBorders>
            <w:shd w:val="clear" w:color="auto" w:fill="auto"/>
            <w:tcMar>
              <w:top w:type="dxa" w:w="80"/>
              <w:left w:type="dxa" w:w="80"/>
              <w:bottom w:type="dxa" w:w="80"/>
              <w:right w:type="dxa" w:w="80"/>
            </w:tcMar>
            <w:vAlign w:val="top"/>
          </w:tcPr>
          <w:p>
            <w:pPr>
              <w:pStyle w:val="ISC Subhead"/>
            </w:pPr>
            <w:r>
              <w:rPr>
                <w:rStyle w:val="None"/>
                <w:shd w:val="nil" w:color="auto" w:fill="auto"/>
                <w:rtl w:val="0"/>
                <w:lang w:val="en-US"/>
              </w:rPr>
              <w:t>Submission Checklist</w:t>
            </w:r>
          </w:p>
        </w:tc>
      </w:tr>
      <w:tr>
        <w:tblPrEx>
          <w:shd w:val="clear" w:color="auto" w:fill="ced7e7"/>
        </w:tblPrEx>
        <w:trPr>
          <w:trHeight w:val="380" w:hRule="atLeast"/>
        </w:trPr>
        <w:tc>
          <w:tcPr>
            <w:tcW w:type="dxa" w:w="1458"/>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Style w:val="None"/>
                <w:rFonts w:ascii="Arial Unicode MS" w:hAnsi="Arial Unicode MS" w:hint="default"/>
                <w:sz w:val="26"/>
                <w:szCs w:val="26"/>
                <w:shd w:val="nil" w:color="auto" w:fill="auto"/>
                <w:rtl w:val="0"/>
                <w:lang w:val="en-US"/>
              </w:rPr>
              <w:t>❑</w:t>
            </w:r>
          </w:p>
        </w:tc>
        <w:tc>
          <w:tcPr>
            <w:tcW w:type="dxa" w:w="8118"/>
            <w:tcBorders>
              <w:top w:val="nil"/>
              <w:left w:val="nil"/>
              <w:bottom w:val="nil"/>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This form</w:t>
            </w:r>
          </w:p>
        </w:tc>
      </w:tr>
      <w:tr>
        <w:tblPrEx>
          <w:shd w:val="clear" w:color="auto" w:fill="ced7e7"/>
        </w:tblPrEx>
        <w:trPr>
          <w:trHeight w:val="620" w:hRule="atLeast"/>
        </w:trPr>
        <w:tc>
          <w:tcPr>
            <w:tcW w:type="dxa" w:w="1458"/>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Style w:val="None"/>
                <w:rFonts w:ascii="Arial Unicode MS" w:hAnsi="Arial Unicode MS" w:hint="default"/>
                <w:sz w:val="26"/>
                <w:szCs w:val="26"/>
                <w:shd w:val="nil" w:color="auto" w:fill="auto"/>
                <w:rtl w:val="0"/>
                <w:lang w:val="en-US"/>
              </w:rPr>
              <w:t>❑</w:t>
            </w:r>
          </w:p>
        </w:tc>
        <w:tc>
          <w:tcPr>
            <w:tcW w:type="dxa" w:w="8118"/>
            <w:tcBorders>
              <w:top w:val="nil"/>
              <w:left w:val="nil"/>
              <w:bottom w:val="nil"/>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 xml:space="preserve">The description of merit, including supporting material if available </w:t>
            </w:r>
          </w:p>
        </w:tc>
      </w:tr>
      <w:tr>
        <w:tblPrEx>
          <w:shd w:val="clear" w:color="auto" w:fill="ced7e7"/>
        </w:tblPrEx>
        <w:trPr>
          <w:trHeight w:val="620" w:hRule="atLeast"/>
        </w:trPr>
        <w:tc>
          <w:tcPr>
            <w:tcW w:type="dxa" w:w="1458"/>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Style w:val="None"/>
                <w:rFonts w:ascii="Arial Unicode MS" w:hAnsi="Arial Unicode MS" w:hint="default"/>
                <w:sz w:val="26"/>
                <w:szCs w:val="26"/>
                <w:shd w:val="nil" w:color="auto" w:fill="auto"/>
                <w:rtl w:val="0"/>
                <w:lang w:val="en-US"/>
              </w:rPr>
              <w:t>❑</w:t>
            </w:r>
          </w:p>
        </w:tc>
        <w:tc>
          <w:tcPr>
            <w:tcW w:type="dxa" w:w="8118"/>
            <w:tcBorders>
              <w:top w:val="nil"/>
              <w:left w:val="nil"/>
              <w:bottom w:val="nil"/>
              <w:right w:val="nil"/>
            </w:tcBorders>
            <w:shd w:val="clear" w:color="auto" w:fill="auto"/>
            <w:tcMar>
              <w:top w:type="dxa" w:w="80"/>
              <w:left w:type="dxa" w:w="80"/>
              <w:bottom w:type="dxa" w:w="80"/>
              <w:right w:type="dxa" w:w="80"/>
            </w:tcMar>
            <w:vAlign w:val="top"/>
          </w:tcPr>
          <w:p>
            <w:pPr>
              <w:pStyle w:val="ISC tabletext"/>
            </w:pPr>
            <w:r>
              <w:rPr>
                <w:rStyle w:val="None"/>
                <w:shd w:val="nil" w:color="auto" w:fill="auto"/>
                <w:rtl w:val="0"/>
                <w:lang w:val="en-US"/>
              </w:rPr>
              <w:t>PDF of the published book AND/OR the PDF used to write the index plus the Word/RTF file sent to the publisher</w:t>
            </w:r>
          </w:p>
        </w:tc>
      </w:tr>
    </w:tbl>
    <w:p>
      <w:pPr>
        <w:pStyle w:val="ISC tabletext"/>
        <w:widowControl w:val="0"/>
        <w:ind w:left="108" w:hanging="108"/>
      </w:pPr>
    </w:p>
    <w:p>
      <w:pPr>
        <w:pStyle w:val="ISC tabletext"/>
        <w:widowControl w:val="0"/>
      </w:pPr>
    </w:p>
    <w:p>
      <w:pPr>
        <w:pStyle w:val="ISC Paragraph"/>
      </w:pPr>
      <w:r>
        <w:rPr>
          <w:rStyle w:val="None"/>
          <w:rtl w:val="0"/>
          <w:lang w:val="en-US"/>
        </w:rPr>
        <w:t xml:space="preserve">Note: After the submission is received, </w:t>
      </w:r>
      <w:r>
        <w:rPr>
          <w:rStyle w:val="None"/>
          <w:rtl w:val="0"/>
          <w:lang w:val="en-US"/>
        </w:rPr>
        <w:t>the coordinator</w:t>
      </w:r>
      <w:r>
        <w:rPr>
          <w:rStyle w:val="None"/>
          <w:rtl w:val="0"/>
          <w:lang w:val="en-US"/>
        </w:rPr>
        <w:t xml:space="preserve"> will send you an invoice for $30, payable by credit card, Interac, or cheque.</w:t>
      </w:r>
    </w:p>
    <w:p>
      <w:pPr>
        <w:pStyle w:val="ISC Paragraph"/>
      </w:pPr>
      <w:r>
        <w:rPr>
          <w:rStyle w:val="None"/>
          <w:rtl w:val="0"/>
          <w:lang w:val="en-US"/>
        </w:rPr>
        <w:t xml:space="preserve">To arrange for your submission, please contact Stephen Ullstrom, the 2025 Ewart-Daveluy Award coordinator, at </w:t>
      </w:r>
      <w:r>
        <w:rPr>
          <w:rStyle w:val="Hyperlink.0"/>
        </w:rPr>
        <w:fldChar w:fldCharType="begin" w:fldLock="0"/>
      </w:r>
      <w:r>
        <w:rPr>
          <w:rStyle w:val="Hyperlink.0"/>
        </w:rPr>
        <w:instrText xml:space="preserve"> HYPERLINK "mailto:awards@indexers.ca"</w:instrText>
      </w:r>
      <w:r>
        <w:rPr>
          <w:rStyle w:val="Hyperlink.0"/>
        </w:rPr>
        <w:fldChar w:fldCharType="separate" w:fldLock="0"/>
      </w:r>
      <w:r>
        <w:rPr>
          <w:rStyle w:val="Hyperlink.0"/>
          <w:rtl w:val="0"/>
        </w:rPr>
        <w:t>awards@indexers.ca</w:t>
      </w:r>
      <w:r>
        <w:rPr/>
        <w:fldChar w:fldCharType="end" w:fldLock="0"/>
      </w:r>
      <w:r>
        <w:rPr>
          <w:rStyle w:val="None"/>
          <w:rtl w:val="0"/>
          <w:lang w:val="en-US"/>
        </w:rPr>
        <w:t xml:space="preserve"> </w:t>
      </w:r>
      <w:r>
        <w:rPr>
          <w:rStyle w:val="None"/>
          <w:rFonts w:ascii="Myriad Pro" w:cs="Myriad Pro" w:hAnsi="Myriad Pro" w:eastAsia="Myriad Pro"/>
          <w:b w:val="1"/>
          <w:bCs w:val="1"/>
          <w:rtl w:val="0"/>
          <w:lang w:val="en-US"/>
        </w:rPr>
        <w:t>by March 14, 2025</w:t>
      </w:r>
      <w:r>
        <w:rPr>
          <w:rStyle w:val="None"/>
          <w:rtl w:val="0"/>
          <w:lang w:val="en-US"/>
        </w:rPr>
        <w:t xml:space="preserve">. </w:t>
      </w:r>
    </w:p>
    <w:sectPr>
      <w:headerReference w:type="default" r:id="rId4"/>
      <w:footerReference w:type="default" r:id="rId5"/>
      <w:pgSz w:w="12240" w:h="15840" w:orient="portrait"/>
      <w:pgMar w:top="810" w:right="1440" w:bottom="63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yriad Pro">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1440"/>
          </w:tabs>
          <w:ind w:left="154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2160"/>
          </w:tabs>
          <w:ind w:left="226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880"/>
          </w:tabs>
          <w:ind w:left="298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3600"/>
          </w:tabs>
          <w:ind w:left="370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4320"/>
          </w:tabs>
          <w:ind w:left="442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5040"/>
          </w:tabs>
          <w:ind w:left="514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760"/>
          </w:tabs>
          <w:ind w:left="586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6480"/>
          </w:tabs>
          <w:ind w:left="658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7200"/>
          </w:tabs>
          <w:ind w:left="7308" w:hanging="82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SC announcement headline">
    <w:name w:val="ISC announcement headline"/>
    <w:next w:val="ISC Paragraph"/>
    <w:pPr>
      <w:keepNext w:val="0"/>
      <w:keepLines w:val="0"/>
      <w:pageBreakBefore w:val="0"/>
      <w:widowControl w:val="1"/>
      <w:shd w:val="clear" w:color="auto" w:fill="auto"/>
      <w:suppressAutoHyphens w:val="0"/>
      <w:bidi w:val="0"/>
      <w:spacing w:before="240" w:after="240" w:line="240" w:lineRule="auto"/>
      <w:ind w:left="0" w:right="0" w:firstLine="0"/>
      <w:jc w:val="center"/>
      <w:outlineLvl w:val="9"/>
    </w:pPr>
    <w:rPr>
      <w:rFonts w:ascii="Myriad Pro" w:cs="Myriad Pro" w:hAnsi="Myriad Pro" w:eastAsia="Myriad Pro"/>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ISC Paragraph">
    <w:name w:val="ISC Paragraph"/>
    <w:next w:val="ISC Paragraph"/>
    <w:pPr>
      <w:keepNext w:val="0"/>
      <w:keepLines w:val="0"/>
      <w:pageBreakBefore w:val="0"/>
      <w:widowControl w:val="1"/>
      <w:shd w:val="clear" w:color="auto" w:fill="auto"/>
      <w:suppressAutoHyphens w:val="0"/>
      <w:bidi w:val="0"/>
      <w:spacing w:before="240" w:after="240" w:line="240" w:lineRule="auto"/>
      <w:ind w:left="0" w:right="0" w:firstLine="0"/>
      <w:jc w:val="left"/>
      <w:outlineLvl w:val="9"/>
    </w:pPr>
    <w:rPr>
      <w:rFonts w:ascii="Myriad Pro" w:cs="Myriad Pro" w:hAnsi="Myriad Pro" w:eastAsia="Myriad Pr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ISC Bullets paragraph">
    <w:name w:val="ISC Bullets paragraph"/>
    <w:next w:val="ISC Bullets paragraph"/>
    <w:pPr>
      <w:keepNext w:val="0"/>
      <w:keepLines w:val="0"/>
      <w:pageBreakBefore w:val="0"/>
      <w:widowControl w:val="1"/>
      <w:shd w:val="clear" w:color="auto" w:fill="auto"/>
      <w:suppressAutoHyphens w:val="0"/>
      <w:bidi w:val="0"/>
      <w:spacing w:before="240" w:after="240" w:line="240" w:lineRule="auto"/>
      <w:ind w:left="0" w:right="0" w:firstLine="0"/>
      <w:jc w:val="left"/>
      <w:outlineLvl w:val="9"/>
    </w:pPr>
    <w:rPr>
      <w:rFonts w:ascii="Myriad Pro" w:cs="Myriad Pro" w:hAnsi="Myriad Pro" w:eastAsia="Myriad Pr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ISC tableheading">
    <w:name w:val="ISC tableheading"/>
    <w:next w:val="ISC tabletext"/>
    <w:pPr>
      <w:keepNext w:val="1"/>
      <w:keepLines w:val="0"/>
      <w:pageBreakBefore w:val="0"/>
      <w:widowControl w:val="1"/>
      <w:shd w:val="clear" w:color="auto" w:fill="auto"/>
      <w:suppressAutoHyphens w:val="0"/>
      <w:bidi w:val="0"/>
      <w:spacing w:before="120" w:after="120" w:line="240" w:lineRule="auto"/>
      <w:ind w:left="0" w:right="0" w:firstLine="0"/>
      <w:jc w:val="center"/>
      <w:outlineLvl w:val="0"/>
    </w:pPr>
    <w:rPr>
      <w:rFonts w:ascii="Myriad Pro" w:cs="Myriad Pro" w:hAnsi="Myriad Pro" w:eastAsia="Myriad Pro"/>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ISC tabletext">
    <w:name w:val="ISC tabletext"/>
    <w:next w:val="ISC tabletext"/>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Myriad Pro" w:cs="Myriad Pro" w:hAnsi="Myriad Pro" w:eastAsia="Myriad Pr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ISC Subhead">
    <w:name w:val="ISC Subhead"/>
    <w:next w:val="ISC Paragraph"/>
    <w:pPr>
      <w:keepNext w:val="1"/>
      <w:keepLines w:val="0"/>
      <w:pageBreakBefore w:val="0"/>
      <w:widowControl w:val="1"/>
      <w:shd w:val="clear" w:color="auto" w:fill="auto"/>
      <w:suppressAutoHyphens w:val="0"/>
      <w:bidi w:val="0"/>
      <w:spacing w:before="120" w:after="120" w:line="240" w:lineRule="auto"/>
      <w:ind w:left="0" w:right="0" w:firstLine="0"/>
      <w:jc w:val="left"/>
      <w:outlineLvl w:val="1"/>
    </w:pPr>
    <w:rPr>
      <w:rFonts w:ascii="Myriad Pro" w:cs="Myriad Pro" w:hAnsi="Myriad Pro" w:eastAsia="Myriad Pro"/>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