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4725" w14:textId="77777777" w:rsidR="00991D23" w:rsidRPr="00991D23" w:rsidRDefault="00991D23" w:rsidP="00991D23">
      <w:pPr>
        <w:rPr>
          <w:b/>
          <w:i/>
          <w:sz w:val="24"/>
          <w:szCs w:val="24"/>
        </w:rPr>
      </w:pPr>
      <w:r w:rsidRPr="00991D23">
        <w:rPr>
          <w:b/>
          <w:i/>
          <w:sz w:val="24"/>
          <w:szCs w:val="24"/>
        </w:rPr>
        <w:t>ISC/SCI 2021 Rates Survey Results</w:t>
      </w:r>
    </w:p>
    <w:p w14:paraId="0BD1BADA" w14:textId="6AF907B0" w:rsidR="00991D23" w:rsidRDefault="00991D23" w:rsidP="00991D23">
      <w:r w:rsidRPr="00991D23">
        <w:t>In 2021, ISC/SCI’s survey committee conduct</w:t>
      </w:r>
      <w:r w:rsidR="00627773">
        <w:t>ed</w:t>
      </w:r>
      <w:r w:rsidRPr="00991D23">
        <w:t xml:space="preserve"> a rates survey. </w:t>
      </w:r>
      <w:r w:rsidR="00464465">
        <w:t xml:space="preserve">The information provided on this page is available for authors and publishers wondering where the ballpark even is for indexing at this time. ISC/SCI members are able to access the full rates report </w:t>
      </w:r>
      <w:r w:rsidR="00122D9A">
        <w:t>in the Members section of the website</w:t>
      </w:r>
      <w:r w:rsidR="00464465">
        <w:t>.</w:t>
      </w:r>
    </w:p>
    <w:p w14:paraId="45A18D6E" w14:textId="77777777" w:rsidR="00DE0827" w:rsidRPr="00991D23" w:rsidRDefault="00DE0827" w:rsidP="00991D23"/>
    <w:p w14:paraId="3EB35B19" w14:textId="7C62EA00" w:rsidR="00464465" w:rsidRDefault="00464465" w:rsidP="00991D23">
      <w:r>
        <w:rPr>
          <w:b/>
          <w:i/>
        </w:rPr>
        <w:t>About the Survey</w:t>
      </w:r>
    </w:p>
    <w:p w14:paraId="1868011E" w14:textId="2612EA4D" w:rsidR="00991D23" w:rsidRPr="00991D23" w:rsidRDefault="00AC4409" w:rsidP="00991D23">
      <w:r>
        <w:t xml:space="preserve">Our survey did have some limitations, and it must be noted that </w:t>
      </w:r>
      <w:r w:rsidR="00991D23" w:rsidRPr="00991D23">
        <w:t xml:space="preserve">not all survey respondents were able to answer some of our rate-setting questions as project fees are sometimes set by publishers or are otherwise outside indexer control. A few of our definitions were too hazy, </w:t>
      </w:r>
      <w:r>
        <w:t xml:space="preserve">which </w:t>
      </w:r>
      <w:r w:rsidR="00991D23" w:rsidRPr="00991D23">
        <w:t xml:space="preserve">we realized too late, so we are not confident that all those reporting working full-time or charging per page meant the same thing. </w:t>
      </w:r>
      <w:r w:rsidR="007159BA">
        <w:t>W</w:t>
      </w:r>
      <w:r w:rsidR="00991D23" w:rsidRPr="00991D23">
        <w:t xml:space="preserve">e have not broken down the rates by number of years indexing, specific training, or similar. </w:t>
      </w:r>
    </w:p>
    <w:p w14:paraId="3350D7D4" w14:textId="77777777" w:rsidR="00991D23" w:rsidRPr="00991D23" w:rsidRDefault="00991D23" w:rsidP="00991D23">
      <w:r w:rsidRPr="00991D23">
        <w:t>The response rate for the survey was just shy of 50%, which is on par with previous surveys. Of these, all but one resided either in Canada or in the United States, giving this survey a definite North American tilt. Despite 73% of respondents residing in Canada, all indicated they indexed only in English. Over 90% work as freelance indexers or subcontractors.</w:t>
      </w:r>
      <w:r w:rsidRPr="00991D23">
        <w:rPr>
          <w:vertAlign w:val="superscript"/>
        </w:rPr>
        <w:footnoteReference w:id="1"/>
      </w:r>
      <w:r w:rsidRPr="00991D23">
        <w:t xml:space="preserve"> Perhaps unsurprisingly due to the skill sets and training many indexers have, over half provided services other than indexing (Table 1).</w:t>
      </w:r>
    </w:p>
    <w:p w14:paraId="3F74A0E7" w14:textId="77777777" w:rsidR="00991D23" w:rsidRPr="00991D23" w:rsidRDefault="00991D23" w:rsidP="00991D23">
      <w:pPr>
        <w:jc w:val="center"/>
        <w:rPr>
          <w:b/>
          <w:bCs/>
        </w:rPr>
      </w:pPr>
      <w:r w:rsidRPr="00991D23">
        <w:rPr>
          <w:b/>
          <w:bCs/>
        </w:rPr>
        <w:t>Table 1. Non-Indexing Services Provided</w:t>
      </w:r>
    </w:p>
    <w:tbl>
      <w:tblPr>
        <w:tblStyle w:val="TableGrid"/>
        <w:tblW w:w="0" w:type="auto"/>
        <w:jc w:val="center"/>
        <w:tblLook w:val="04A0" w:firstRow="1" w:lastRow="0" w:firstColumn="1" w:lastColumn="0" w:noHBand="0" w:noVBand="1"/>
      </w:tblPr>
      <w:tblGrid>
        <w:gridCol w:w="2122"/>
        <w:gridCol w:w="2409"/>
      </w:tblGrid>
      <w:tr w:rsidR="00991D23" w:rsidRPr="00991D23" w14:paraId="6DE4A15B" w14:textId="77777777" w:rsidTr="00991D23">
        <w:trPr>
          <w:trHeight w:val="283"/>
          <w:jc w:val="center"/>
        </w:trPr>
        <w:tc>
          <w:tcPr>
            <w:tcW w:w="2122" w:type="dxa"/>
          </w:tcPr>
          <w:p w14:paraId="784DA34B" w14:textId="77777777" w:rsidR="00991D23" w:rsidRPr="00991D23" w:rsidRDefault="00991D23" w:rsidP="0065001C">
            <w:pPr>
              <w:spacing w:after="60" w:line="259" w:lineRule="auto"/>
              <w:jc w:val="center"/>
              <w:rPr>
                <w:b/>
                <w:bCs/>
              </w:rPr>
            </w:pPr>
            <w:r w:rsidRPr="00991D23">
              <w:rPr>
                <w:b/>
                <w:bCs/>
              </w:rPr>
              <w:t>Service</w:t>
            </w:r>
          </w:p>
        </w:tc>
        <w:tc>
          <w:tcPr>
            <w:tcW w:w="2409" w:type="dxa"/>
          </w:tcPr>
          <w:p w14:paraId="557E6B3B" w14:textId="77777777" w:rsidR="00991D23" w:rsidRPr="00991D23" w:rsidRDefault="00991D23" w:rsidP="0065001C">
            <w:pPr>
              <w:spacing w:after="60" w:line="259" w:lineRule="auto"/>
              <w:jc w:val="center"/>
              <w:rPr>
                <w:b/>
                <w:bCs/>
              </w:rPr>
            </w:pPr>
            <w:r w:rsidRPr="00991D23">
              <w:rPr>
                <w:b/>
                <w:bCs/>
              </w:rPr>
              <w:t>Percent of Respondents</w:t>
            </w:r>
          </w:p>
        </w:tc>
      </w:tr>
      <w:tr w:rsidR="00991D23" w:rsidRPr="00991D23" w14:paraId="2E09EB04" w14:textId="77777777" w:rsidTr="00AC4409">
        <w:trPr>
          <w:trHeight w:val="283"/>
          <w:jc w:val="center"/>
        </w:trPr>
        <w:tc>
          <w:tcPr>
            <w:tcW w:w="2122" w:type="dxa"/>
          </w:tcPr>
          <w:p w14:paraId="770F019D" w14:textId="77777777" w:rsidR="00991D23" w:rsidRPr="00991D23" w:rsidRDefault="00991D23" w:rsidP="0065001C">
            <w:pPr>
              <w:spacing w:after="60" w:line="259" w:lineRule="auto"/>
            </w:pPr>
            <w:r w:rsidRPr="00991D23">
              <w:t>Editing</w:t>
            </w:r>
          </w:p>
        </w:tc>
        <w:tc>
          <w:tcPr>
            <w:tcW w:w="2409" w:type="dxa"/>
            <w:vAlign w:val="center"/>
          </w:tcPr>
          <w:p w14:paraId="15BDD10F" w14:textId="77777777" w:rsidR="00991D23" w:rsidRPr="00991D23" w:rsidRDefault="00991D23" w:rsidP="0065001C">
            <w:pPr>
              <w:spacing w:after="60" w:line="259" w:lineRule="auto"/>
              <w:jc w:val="center"/>
            </w:pPr>
            <w:r w:rsidRPr="00991D23">
              <w:t>37%</w:t>
            </w:r>
          </w:p>
        </w:tc>
      </w:tr>
      <w:tr w:rsidR="00991D23" w:rsidRPr="00991D23" w14:paraId="07C5213E" w14:textId="77777777" w:rsidTr="00AC4409">
        <w:trPr>
          <w:trHeight w:val="283"/>
          <w:jc w:val="center"/>
        </w:trPr>
        <w:tc>
          <w:tcPr>
            <w:tcW w:w="2122" w:type="dxa"/>
          </w:tcPr>
          <w:p w14:paraId="4D89C5A1" w14:textId="77777777" w:rsidR="00991D23" w:rsidRPr="00991D23" w:rsidRDefault="00991D23" w:rsidP="0065001C">
            <w:pPr>
              <w:spacing w:after="60" w:line="259" w:lineRule="auto"/>
            </w:pPr>
            <w:r w:rsidRPr="00991D23">
              <w:t>Proofreading</w:t>
            </w:r>
          </w:p>
        </w:tc>
        <w:tc>
          <w:tcPr>
            <w:tcW w:w="2409" w:type="dxa"/>
            <w:vAlign w:val="center"/>
          </w:tcPr>
          <w:p w14:paraId="396F8EC6" w14:textId="77777777" w:rsidR="00991D23" w:rsidRPr="00991D23" w:rsidRDefault="00991D23" w:rsidP="0065001C">
            <w:pPr>
              <w:spacing w:after="60" w:line="259" w:lineRule="auto"/>
              <w:jc w:val="center"/>
            </w:pPr>
            <w:r w:rsidRPr="00991D23">
              <w:t>35%</w:t>
            </w:r>
          </w:p>
        </w:tc>
      </w:tr>
      <w:tr w:rsidR="00991D23" w:rsidRPr="00991D23" w14:paraId="0ADA8D41" w14:textId="77777777" w:rsidTr="00AC4409">
        <w:trPr>
          <w:trHeight w:val="283"/>
          <w:jc w:val="center"/>
        </w:trPr>
        <w:tc>
          <w:tcPr>
            <w:tcW w:w="2122" w:type="dxa"/>
          </w:tcPr>
          <w:p w14:paraId="3098FCCC" w14:textId="77777777" w:rsidR="00991D23" w:rsidRPr="00991D23" w:rsidRDefault="00991D23" w:rsidP="0065001C">
            <w:pPr>
              <w:spacing w:after="60" w:line="259" w:lineRule="auto"/>
            </w:pPr>
            <w:r w:rsidRPr="00991D23">
              <w:t>Writing</w:t>
            </w:r>
          </w:p>
        </w:tc>
        <w:tc>
          <w:tcPr>
            <w:tcW w:w="2409" w:type="dxa"/>
            <w:vAlign w:val="center"/>
          </w:tcPr>
          <w:p w14:paraId="7826FD91" w14:textId="77777777" w:rsidR="00991D23" w:rsidRPr="00991D23" w:rsidRDefault="00991D23" w:rsidP="0065001C">
            <w:pPr>
              <w:spacing w:after="60" w:line="259" w:lineRule="auto"/>
              <w:jc w:val="center"/>
            </w:pPr>
            <w:r w:rsidRPr="00991D23">
              <w:t>14%</w:t>
            </w:r>
          </w:p>
        </w:tc>
      </w:tr>
      <w:tr w:rsidR="00991D23" w:rsidRPr="00991D23" w14:paraId="052D03A7" w14:textId="77777777" w:rsidTr="00AC4409">
        <w:trPr>
          <w:trHeight w:val="283"/>
          <w:jc w:val="center"/>
        </w:trPr>
        <w:tc>
          <w:tcPr>
            <w:tcW w:w="2122" w:type="dxa"/>
          </w:tcPr>
          <w:p w14:paraId="7D69A78A" w14:textId="77777777" w:rsidR="00991D23" w:rsidRPr="00991D23" w:rsidRDefault="00991D23" w:rsidP="0065001C">
            <w:pPr>
              <w:spacing w:after="60" w:line="259" w:lineRule="auto"/>
            </w:pPr>
            <w:r w:rsidRPr="00991D23">
              <w:t>Consulting</w:t>
            </w:r>
          </w:p>
        </w:tc>
        <w:tc>
          <w:tcPr>
            <w:tcW w:w="2409" w:type="dxa"/>
            <w:vAlign w:val="center"/>
          </w:tcPr>
          <w:p w14:paraId="594D4A6C" w14:textId="77777777" w:rsidR="00991D23" w:rsidRPr="00991D23" w:rsidRDefault="00991D23" w:rsidP="0065001C">
            <w:pPr>
              <w:spacing w:after="60" w:line="259" w:lineRule="auto"/>
              <w:jc w:val="center"/>
            </w:pPr>
            <w:r w:rsidRPr="00991D23">
              <w:t>4%</w:t>
            </w:r>
          </w:p>
        </w:tc>
      </w:tr>
      <w:tr w:rsidR="00991D23" w:rsidRPr="00991D23" w14:paraId="66246D7A" w14:textId="77777777" w:rsidTr="00AC4409">
        <w:trPr>
          <w:trHeight w:val="283"/>
          <w:jc w:val="center"/>
        </w:trPr>
        <w:tc>
          <w:tcPr>
            <w:tcW w:w="2122" w:type="dxa"/>
          </w:tcPr>
          <w:p w14:paraId="2AF1DF28" w14:textId="77777777" w:rsidR="00991D23" w:rsidRPr="00991D23" w:rsidRDefault="00991D23" w:rsidP="0065001C">
            <w:pPr>
              <w:spacing w:after="60" w:line="259" w:lineRule="auto"/>
            </w:pPr>
            <w:r w:rsidRPr="00991D23">
              <w:t>Abstracting</w:t>
            </w:r>
          </w:p>
        </w:tc>
        <w:tc>
          <w:tcPr>
            <w:tcW w:w="2409" w:type="dxa"/>
            <w:vAlign w:val="center"/>
          </w:tcPr>
          <w:p w14:paraId="1C0AD1EF" w14:textId="77777777" w:rsidR="00991D23" w:rsidRPr="00991D23" w:rsidRDefault="00991D23" w:rsidP="0065001C">
            <w:pPr>
              <w:spacing w:after="60" w:line="259" w:lineRule="auto"/>
              <w:jc w:val="center"/>
            </w:pPr>
            <w:r w:rsidRPr="00991D23">
              <w:t>4%</w:t>
            </w:r>
          </w:p>
        </w:tc>
      </w:tr>
      <w:tr w:rsidR="00991D23" w:rsidRPr="00991D23" w14:paraId="23AA9FC4" w14:textId="77777777" w:rsidTr="00AC4409">
        <w:trPr>
          <w:trHeight w:val="283"/>
          <w:jc w:val="center"/>
        </w:trPr>
        <w:tc>
          <w:tcPr>
            <w:tcW w:w="2122" w:type="dxa"/>
          </w:tcPr>
          <w:p w14:paraId="1E88CF3E" w14:textId="77777777" w:rsidR="00991D23" w:rsidRPr="00991D23" w:rsidRDefault="00991D23" w:rsidP="0065001C">
            <w:pPr>
              <w:spacing w:after="60" w:line="259" w:lineRule="auto"/>
            </w:pPr>
            <w:r w:rsidRPr="00991D23">
              <w:t>Permissions and Photo Research</w:t>
            </w:r>
          </w:p>
        </w:tc>
        <w:tc>
          <w:tcPr>
            <w:tcW w:w="2409" w:type="dxa"/>
            <w:vAlign w:val="center"/>
          </w:tcPr>
          <w:p w14:paraId="018342E9" w14:textId="77777777" w:rsidR="00991D23" w:rsidRPr="00991D23" w:rsidRDefault="00991D23" w:rsidP="0065001C">
            <w:pPr>
              <w:spacing w:after="60" w:line="259" w:lineRule="auto"/>
              <w:jc w:val="center"/>
            </w:pPr>
            <w:r w:rsidRPr="00991D23">
              <w:t>2%</w:t>
            </w:r>
          </w:p>
        </w:tc>
      </w:tr>
      <w:tr w:rsidR="00991D23" w:rsidRPr="00991D23" w14:paraId="77089D12" w14:textId="77777777" w:rsidTr="00AC4409">
        <w:trPr>
          <w:trHeight w:val="283"/>
          <w:jc w:val="center"/>
        </w:trPr>
        <w:tc>
          <w:tcPr>
            <w:tcW w:w="2122" w:type="dxa"/>
          </w:tcPr>
          <w:p w14:paraId="63BFE1BE" w14:textId="77777777" w:rsidR="00991D23" w:rsidRPr="00991D23" w:rsidRDefault="00991D23" w:rsidP="0065001C">
            <w:pPr>
              <w:spacing w:after="60" w:line="259" w:lineRule="auto"/>
            </w:pPr>
            <w:r w:rsidRPr="00991D23">
              <w:t>Translation</w:t>
            </w:r>
          </w:p>
        </w:tc>
        <w:tc>
          <w:tcPr>
            <w:tcW w:w="2409" w:type="dxa"/>
            <w:vAlign w:val="center"/>
          </w:tcPr>
          <w:p w14:paraId="53441C90" w14:textId="77777777" w:rsidR="00991D23" w:rsidRPr="00991D23" w:rsidRDefault="00991D23" w:rsidP="0065001C">
            <w:pPr>
              <w:spacing w:after="60" w:line="259" w:lineRule="auto"/>
              <w:jc w:val="center"/>
            </w:pPr>
            <w:r w:rsidRPr="00991D23">
              <w:t>2%</w:t>
            </w:r>
          </w:p>
        </w:tc>
      </w:tr>
      <w:tr w:rsidR="00991D23" w:rsidRPr="00991D23" w14:paraId="448ECE24" w14:textId="77777777" w:rsidTr="00AC4409">
        <w:trPr>
          <w:trHeight w:val="283"/>
          <w:jc w:val="center"/>
        </w:trPr>
        <w:tc>
          <w:tcPr>
            <w:tcW w:w="2122" w:type="dxa"/>
          </w:tcPr>
          <w:p w14:paraId="207EB6CC" w14:textId="77777777" w:rsidR="00991D23" w:rsidRPr="00991D23" w:rsidRDefault="00991D23" w:rsidP="0065001C">
            <w:pPr>
              <w:spacing w:after="60" w:line="259" w:lineRule="auto"/>
            </w:pPr>
            <w:r w:rsidRPr="00991D23">
              <w:t>Teaching Indexing</w:t>
            </w:r>
          </w:p>
        </w:tc>
        <w:tc>
          <w:tcPr>
            <w:tcW w:w="2409" w:type="dxa"/>
            <w:vAlign w:val="center"/>
          </w:tcPr>
          <w:p w14:paraId="3837824E" w14:textId="77777777" w:rsidR="00991D23" w:rsidRPr="00991D23" w:rsidRDefault="00991D23" w:rsidP="0065001C">
            <w:pPr>
              <w:spacing w:after="60" w:line="259" w:lineRule="auto"/>
              <w:jc w:val="center"/>
            </w:pPr>
            <w:r w:rsidRPr="00991D23">
              <w:t>2%</w:t>
            </w:r>
          </w:p>
        </w:tc>
      </w:tr>
    </w:tbl>
    <w:p w14:paraId="358712D2" w14:textId="7A6B781F" w:rsidR="00991D23" w:rsidRPr="00991D23" w:rsidRDefault="00991D23" w:rsidP="00991D23">
      <w:pPr>
        <w:spacing w:before="160"/>
      </w:pPr>
      <w:r w:rsidRPr="00991D23">
        <w:t>Most respondents had been indexing for fifteen or more years. For the rest, 16% had been indexing for less than five years, 23% for between five and nine years, and 19% for between ten and fourteen. Over 80% reported having indexed twenty or more books at the time of the survey.</w:t>
      </w:r>
    </w:p>
    <w:p w14:paraId="22FCF96E" w14:textId="77777777" w:rsidR="00464465" w:rsidRDefault="00464465" w:rsidP="005B25E7">
      <w:pPr>
        <w:spacing w:before="240"/>
        <w:rPr>
          <w:b/>
          <w:i/>
        </w:rPr>
      </w:pPr>
    </w:p>
    <w:p w14:paraId="0B966132" w14:textId="79B800A0" w:rsidR="00991D23" w:rsidRPr="00991D23" w:rsidRDefault="00991D23" w:rsidP="005B25E7">
      <w:pPr>
        <w:spacing w:before="240"/>
        <w:rPr>
          <w:b/>
          <w:i/>
        </w:rPr>
      </w:pPr>
      <w:r w:rsidRPr="00991D23">
        <w:rPr>
          <w:b/>
          <w:i/>
        </w:rPr>
        <w:t>The Big Picture</w:t>
      </w:r>
    </w:p>
    <w:p w14:paraId="57279F30" w14:textId="0C54D564" w:rsidR="00464465" w:rsidRDefault="00464465" w:rsidP="00281324">
      <w:pPr>
        <w:spacing w:before="360"/>
      </w:pPr>
      <w:r>
        <w:lastRenderedPageBreak/>
        <w:t xml:space="preserve">The average rate per page of indexable text in 2021 was </w:t>
      </w:r>
      <w:r w:rsidR="00DE0827">
        <w:t>$</w:t>
      </w:r>
      <w:r>
        <w:t>4</w:t>
      </w:r>
      <w:r w:rsidR="00DE0827">
        <w:t xml:space="preserve"> </w:t>
      </w:r>
      <w:r>
        <w:rPr>
          <w:rFonts w:cstheme="minorHAnsi"/>
        </w:rPr>
        <w:t>–</w:t>
      </w:r>
      <w:r w:rsidR="00DE0827">
        <w:rPr>
          <w:rFonts w:cstheme="minorHAnsi"/>
        </w:rPr>
        <w:t xml:space="preserve"> $</w:t>
      </w:r>
      <w:r>
        <w:t xml:space="preserve">6.50. </w:t>
      </w:r>
    </w:p>
    <w:p w14:paraId="0207D6C0" w14:textId="3A9096D2" w:rsidR="00DE0827" w:rsidRDefault="00DE0827" w:rsidP="00281324">
      <w:pPr>
        <w:spacing w:before="360"/>
        <w:rPr>
          <w:rFonts w:cstheme="minorHAnsi"/>
        </w:rPr>
      </w:pPr>
      <w:r>
        <w:t xml:space="preserve">Trade books: $3 </w:t>
      </w:r>
      <w:r>
        <w:rPr>
          <w:rFonts w:cstheme="minorHAnsi"/>
        </w:rPr>
        <w:t>–</w:t>
      </w:r>
      <w:r>
        <w:rPr>
          <w:rFonts w:cstheme="minorHAnsi"/>
        </w:rPr>
        <w:t xml:space="preserve"> $6</w:t>
      </w:r>
    </w:p>
    <w:p w14:paraId="7EC72E01" w14:textId="0262DF78" w:rsidR="00DE0827" w:rsidRDefault="00DE0827" w:rsidP="00281324">
      <w:pPr>
        <w:spacing w:before="360"/>
        <w:rPr>
          <w:rFonts w:cstheme="minorHAnsi"/>
        </w:rPr>
      </w:pPr>
      <w:r>
        <w:rPr>
          <w:rFonts w:cstheme="minorHAnsi"/>
        </w:rPr>
        <w:t xml:space="preserve">Scholarly books: $4 </w:t>
      </w:r>
      <w:r>
        <w:rPr>
          <w:rFonts w:cstheme="minorHAnsi"/>
        </w:rPr>
        <w:t>–</w:t>
      </w:r>
      <w:r>
        <w:rPr>
          <w:rFonts w:cstheme="minorHAnsi"/>
        </w:rPr>
        <w:t xml:space="preserve"> $7</w:t>
      </w:r>
    </w:p>
    <w:p w14:paraId="019AC332" w14:textId="7D39EB65" w:rsidR="00DE0827" w:rsidRDefault="00DE0827" w:rsidP="00281324">
      <w:pPr>
        <w:spacing w:before="360"/>
      </w:pPr>
      <w:r>
        <w:rPr>
          <w:rFonts w:cstheme="minorHAnsi"/>
        </w:rPr>
        <w:t xml:space="preserve">Textbooks: $3 </w:t>
      </w:r>
      <w:r>
        <w:rPr>
          <w:rFonts w:cstheme="minorHAnsi"/>
        </w:rPr>
        <w:t>–</w:t>
      </w:r>
      <w:r>
        <w:rPr>
          <w:rFonts w:cstheme="minorHAnsi"/>
        </w:rPr>
        <w:t xml:space="preserve"> $6.50</w:t>
      </w:r>
    </w:p>
    <w:p w14:paraId="50A70602" w14:textId="77777777" w:rsidR="00464465" w:rsidRDefault="00464465" w:rsidP="00281324">
      <w:pPr>
        <w:spacing w:before="360"/>
        <w:rPr>
          <w:b/>
          <w:i/>
        </w:rPr>
      </w:pPr>
    </w:p>
    <w:p w14:paraId="062591F0" w14:textId="5DF9BBD0" w:rsidR="006D65EE" w:rsidRPr="006D65EE" w:rsidRDefault="00464465" w:rsidP="00281324">
      <w:pPr>
        <w:spacing w:before="360"/>
        <w:rPr>
          <w:b/>
          <w:i/>
        </w:rPr>
      </w:pPr>
      <w:r>
        <w:rPr>
          <w:b/>
          <w:i/>
        </w:rPr>
        <w:t xml:space="preserve">How Do Indexers Set Their </w:t>
      </w:r>
      <w:r w:rsidR="006D65EE" w:rsidRPr="006D65EE">
        <w:rPr>
          <w:b/>
          <w:i/>
        </w:rPr>
        <w:t>Rates</w:t>
      </w:r>
      <w:r>
        <w:rPr>
          <w:b/>
          <w:i/>
        </w:rPr>
        <w:t>?</w:t>
      </w:r>
    </w:p>
    <w:p w14:paraId="1ABD76A0" w14:textId="014874BE" w:rsidR="00991D23" w:rsidRPr="00991D23" w:rsidRDefault="00991D23" w:rsidP="00991D23">
      <w:r w:rsidRPr="00991D23">
        <w:t xml:space="preserve">Unsurprisingly, there’s nearly as much variation </w:t>
      </w:r>
      <w:r w:rsidR="006D65EE">
        <w:t xml:space="preserve">in </w:t>
      </w:r>
      <w:r w:rsidRPr="00991D23">
        <w:t>how indexers at ISC/SCI set their rates as there are indexers, best encapsulated by 40% relying on “gut feeling.” Undoubtedly true, but hard to translate as advice or guidance for others.</w:t>
      </w:r>
    </w:p>
    <w:p w14:paraId="717C890D" w14:textId="77777777" w:rsidR="00991D23" w:rsidRPr="00991D23" w:rsidRDefault="00991D23" w:rsidP="00991D23">
      <w:r w:rsidRPr="00991D23">
        <w:t>Since we didn’t think to survey our members’ gut microbes on this question, here are some more helpful ideas our members offered (note that the numbers won’t equal 100%; many people use multiple methods).</w:t>
      </w:r>
    </w:p>
    <w:p w14:paraId="51A2A903" w14:textId="77777777" w:rsidR="00991D23" w:rsidRPr="00991D23" w:rsidRDefault="00991D23" w:rsidP="00991D23">
      <w:r w:rsidRPr="00991D23">
        <w:t>Nearly half (48%) reported using client and colleague feedback as key to assessing and setting rates. The same proportion used a formula or matrix that tracked time spent indexing against speed to determine a rate. In a corollary of colleague feedback, 43% indicated that they use a combination of the rates reports and discussions on the various indexing listservs as a metric for evaluating their own base rates.</w:t>
      </w:r>
    </w:p>
    <w:p w14:paraId="683ACA81" w14:textId="6081A379" w:rsidR="00991D23" w:rsidRPr="00991D23" w:rsidRDefault="00991D23" w:rsidP="00991D23">
      <w:r w:rsidRPr="00991D23">
        <w:t>At various points in the survey respondents helpfully pointed out that base rates are flexible. A particularly interesting project might get a lower bid, while a rushed timeline earns the clients a surcharge. Some indexers also provide a new client discount.</w:t>
      </w:r>
    </w:p>
    <w:p w14:paraId="4CB70D7F" w14:textId="77777777" w:rsidR="00DE0827" w:rsidRDefault="00DE0827" w:rsidP="00627773">
      <w:pPr>
        <w:spacing w:before="240"/>
        <w:rPr>
          <w:b/>
          <w:i/>
        </w:rPr>
      </w:pPr>
    </w:p>
    <w:p w14:paraId="53D5212C" w14:textId="2D8B1BD2" w:rsidR="00991D23" w:rsidRPr="00991D23" w:rsidRDefault="00627773" w:rsidP="00627773">
      <w:pPr>
        <w:spacing w:before="240"/>
        <w:rPr>
          <w:b/>
          <w:i/>
        </w:rPr>
      </w:pPr>
      <w:r>
        <w:rPr>
          <w:b/>
          <w:i/>
        </w:rPr>
        <w:t xml:space="preserve">Considering </w:t>
      </w:r>
      <w:r w:rsidRPr="00B8566D">
        <w:rPr>
          <w:b/>
          <w:i/>
        </w:rPr>
        <w:t>Inflation</w:t>
      </w:r>
    </w:p>
    <w:p w14:paraId="3266805C" w14:textId="77777777" w:rsidR="00991D23" w:rsidRPr="00991D23" w:rsidRDefault="00991D23" w:rsidP="00627773">
      <w:r w:rsidRPr="00991D23">
        <w:t xml:space="preserve">In our 2008 survey, respondents reported charging between $3 and $6 per typeset page, or between $3 and $8 per manuscript page (the latter defined as about 275 words). A decade on, the range has grown, to between $3 and $11 per page (left undefined in terms of typeset vs manuscript and in terms of the number of words). Most indexers, however, reported a low end of $4 and a high of $6.50. To put these numbers in a bit of context, using the Bank of Canada’s inflation calculator, </w:t>
      </w:r>
    </w:p>
    <w:p w14:paraId="21570810" w14:textId="77777777" w:rsidR="00991D23" w:rsidRPr="00991D23" w:rsidRDefault="00991D23" w:rsidP="00627773">
      <w:pPr>
        <w:spacing w:after="40"/>
        <w:ind w:left="720"/>
      </w:pPr>
      <w:r w:rsidRPr="00991D23">
        <w:t>$3 in 2008 = $3.81 in 2021</w:t>
      </w:r>
    </w:p>
    <w:p w14:paraId="22DD21F6" w14:textId="77777777" w:rsidR="00991D23" w:rsidRPr="00991D23" w:rsidRDefault="00991D23" w:rsidP="00627773">
      <w:pPr>
        <w:spacing w:after="40"/>
        <w:ind w:left="720"/>
      </w:pPr>
      <w:r w:rsidRPr="00991D23">
        <w:t>$6 in 2008 = $7.63</w:t>
      </w:r>
      <w:r w:rsidR="00627773">
        <w:t xml:space="preserve"> in 2001</w:t>
      </w:r>
    </w:p>
    <w:p w14:paraId="742E36F6" w14:textId="77777777" w:rsidR="00DE0827" w:rsidRDefault="00DE0827" w:rsidP="00667F88">
      <w:pPr>
        <w:spacing w:before="240"/>
        <w:rPr>
          <w:b/>
          <w:i/>
        </w:rPr>
      </w:pPr>
    </w:p>
    <w:p w14:paraId="3167F45A" w14:textId="2BFF6312" w:rsidR="00667F88" w:rsidRPr="00667F88" w:rsidRDefault="00667F88" w:rsidP="00667F88">
      <w:pPr>
        <w:spacing w:before="240"/>
        <w:rPr>
          <w:b/>
          <w:i/>
        </w:rPr>
      </w:pPr>
      <w:r w:rsidRPr="00667F88">
        <w:rPr>
          <w:b/>
          <w:i/>
        </w:rPr>
        <w:t>Charging for Revisions</w:t>
      </w:r>
      <w:r>
        <w:rPr>
          <w:b/>
          <w:i/>
        </w:rPr>
        <w:t xml:space="preserve"> </w:t>
      </w:r>
    </w:p>
    <w:p w14:paraId="17272FA8" w14:textId="5AEA3290" w:rsidR="00991D23" w:rsidRPr="00991D23" w:rsidRDefault="00991D23" w:rsidP="00991D23">
      <w:r w:rsidRPr="00991D23">
        <w:lastRenderedPageBreak/>
        <w:t xml:space="preserve">Only 28% said categorically that they don’t charge for revisions, and one lone indexer said they always charge. The rest fell back upon the classic indexer hedge of “it depends.” They tend to include a set number of hours for revisions as part of the project rate they quote to clients. Any revisions taking more time result in additional charges. Table </w:t>
      </w:r>
      <w:r w:rsidR="00281324">
        <w:t>3</w:t>
      </w:r>
      <w:r w:rsidRPr="00991D23">
        <w:t xml:space="preserve"> shows the typical hourly rates charged in such cases.</w:t>
      </w:r>
    </w:p>
    <w:p w14:paraId="555BFB26" w14:textId="2A6BD991" w:rsidR="00991D23" w:rsidRPr="00991D23" w:rsidRDefault="00991D23" w:rsidP="00667F88">
      <w:pPr>
        <w:jc w:val="center"/>
        <w:rPr>
          <w:b/>
          <w:bCs/>
        </w:rPr>
      </w:pPr>
      <w:r w:rsidRPr="00991D23">
        <w:rPr>
          <w:b/>
          <w:bCs/>
        </w:rPr>
        <w:t xml:space="preserve">Table </w:t>
      </w:r>
      <w:r w:rsidR="00281324">
        <w:rPr>
          <w:b/>
          <w:bCs/>
        </w:rPr>
        <w:t>3</w:t>
      </w:r>
      <w:r w:rsidRPr="00991D23">
        <w:rPr>
          <w:b/>
          <w:bCs/>
        </w:rPr>
        <w:t>. Rates for Revisions</w:t>
      </w:r>
    </w:p>
    <w:tbl>
      <w:tblPr>
        <w:tblStyle w:val="TableGrid"/>
        <w:tblW w:w="0" w:type="auto"/>
        <w:jc w:val="center"/>
        <w:tblLook w:val="04A0" w:firstRow="1" w:lastRow="0" w:firstColumn="1" w:lastColumn="0" w:noHBand="0" w:noVBand="1"/>
      </w:tblPr>
      <w:tblGrid>
        <w:gridCol w:w="1838"/>
        <w:gridCol w:w="2410"/>
      </w:tblGrid>
      <w:tr w:rsidR="00991D23" w:rsidRPr="00991D23" w14:paraId="73C481D2" w14:textId="77777777" w:rsidTr="00667F88">
        <w:trPr>
          <w:trHeight w:val="283"/>
          <w:jc w:val="center"/>
        </w:trPr>
        <w:tc>
          <w:tcPr>
            <w:tcW w:w="1838" w:type="dxa"/>
          </w:tcPr>
          <w:p w14:paraId="44BEC6B5" w14:textId="77777777" w:rsidR="00991D23" w:rsidRPr="00991D23" w:rsidRDefault="00991D23" w:rsidP="00C202FF">
            <w:pPr>
              <w:spacing w:after="60" w:line="259" w:lineRule="auto"/>
              <w:jc w:val="center"/>
              <w:rPr>
                <w:b/>
                <w:bCs/>
              </w:rPr>
            </w:pPr>
            <w:r w:rsidRPr="00991D23">
              <w:rPr>
                <w:b/>
                <w:bCs/>
              </w:rPr>
              <w:t>Rate</w:t>
            </w:r>
          </w:p>
        </w:tc>
        <w:tc>
          <w:tcPr>
            <w:tcW w:w="2410" w:type="dxa"/>
          </w:tcPr>
          <w:p w14:paraId="65D9E8CA" w14:textId="77777777" w:rsidR="00991D23" w:rsidRPr="00991D23" w:rsidRDefault="00991D23" w:rsidP="00C202FF">
            <w:pPr>
              <w:spacing w:after="60" w:line="259" w:lineRule="auto"/>
              <w:jc w:val="center"/>
              <w:rPr>
                <w:b/>
                <w:bCs/>
              </w:rPr>
            </w:pPr>
            <w:r w:rsidRPr="00991D23">
              <w:rPr>
                <w:b/>
                <w:bCs/>
              </w:rPr>
              <w:t>Percent of Respondents</w:t>
            </w:r>
          </w:p>
        </w:tc>
      </w:tr>
      <w:tr w:rsidR="00991D23" w:rsidRPr="00991D23" w14:paraId="5C78DF91" w14:textId="77777777" w:rsidTr="00667F88">
        <w:trPr>
          <w:trHeight w:val="283"/>
          <w:jc w:val="center"/>
        </w:trPr>
        <w:tc>
          <w:tcPr>
            <w:tcW w:w="1838" w:type="dxa"/>
          </w:tcPr>
          <w:p w14:paraId="54B53978" w14:textId="77777777" w:rsidR="00991D23" w:rsidRPr="00991D23" w:rsidRDefault="00991D23" w:rsidP="00C202FF">
            <w:pPr>
              <w:spacing w:after="60" w:line="259" w:lineRule="auto"/>
            </w:pPr>
            <w:r w:rsidRPr="00991D23">
              <w:t>$20–$34 / hour</w:t>
            </w:r>
          </w:p>
        </w:tc>
        <w:tc>
          <w:tcPr>
            <w:tcW w:w="2410" w:type="dxa"/>
          </w:tcPr>
          <w:p w14:paraId="476A84E3" w14:textId="77777777" w:rsidR="00991D23" w:rsidRPr="00991D23" w:rsidRDefault="00991D23" w:rsidP="00C202FF">
            <w:pPr>
              <w:spacing w:after="60" w:line="259" w:lineRule="auto"/>
              <w:jc w:val="center"/>
            </w:pPr>
            <w:r w:rsidRPr="00991D23">
              <w:t>14%</w:t>
            </w:r>
          </w:p>
        </w:tc>
      </w:tr>
      <w:tr w:rsidR="00991D23" w:rsidRPr="00991D23" w14:paraId="4EE3BB03" w14:textId="77777777" w:rsidTr="00667F88">
        <w:trPr>
          <w:trHeight w:val="283"/>
          <w:jc w:val="center"/>
        </w:trPr>
        <w:tc>
          <w:tcPr>
            <w:tcW w:w="1838" w:type="dxa"/>
          </w:tcPr>
          <w:p w14:paraId="2425951E" w14:textId="77777777" w:rsidR="00991D23" w:rsidRPr="00991D23" w:rsidRDefault="00991D23" w:rsidP="00C202FF">
            <w:pPr>
              <w:spacing w:after="60" w:line="259" w:lineRule="auto"/>
            </w:pPr>
            <w:r w:rsidRPr="00991D23">
              <w:t>$35–$49 / hour</w:t>
            </w:r>
          </w:p>
        </w:tc>
        <w:tc>
          <w:tcPr>
            <w:tcW w:w="2410" w:type="dxa"/>
          </w:tcPr>
          <w:p w14:paraId="50D678C3" w14:textId="77777777" w:rsidR="00991D23" w:rsidRPr="00991D23" w:rsidRDefault="00991D23" w:rsidP="00C202FF">
            <w:pPr>
              <w:spacing w:after="60" w:line="259" w:lineRule="auto"/>
              <w:jc w:val="center"/>
            </w:pPr>
            <w:r w:rsidRPr="00991D23">
              <w:t>29%</w:t>
            </w:r>
          </w:p>
        </w:tc>
      </w:tr>
      <w:tr w:rsidR="00991D23" w:rsidRPr="00991D23" w14:paraId="625DCD33" w14:textId="77777777" w:rsidTr="00667F88">
        <w:trPr>
          <w:trHeight w:val="283"/>
          <w:jc w:val="center"/>
        </w:trPr>
        <w:tc>
          <w:tcPr>
            <w:tcW w:w="1838" w:type="dxa"/>
          </w:tcPr>
          <w:p w14:paraId="118A4AB1" w14:textId="77777777" w:rsidR="00991D23" w:rsidRPr="00991D23" w:rsidRDefault="00991D23" w:rsidP="00C202FF">
            <w:pPr>
              <w:spacing w:after="60" w:line="259" w:lineRule="auto"/>
            </w:pPr>
            <w:r w:rsidRPr="00991D23">
              <w:t>$50–$64 / hour</w:t>
            </w:r>
          </w:p>
        </w:tc>
        <w:tc>
          <w:tcPr>
            <w:tcW w:w="2410" w:type="dxa"/>
          </w:tcPr>
          <w:p w14:paraId="016031A9" w14:textId="77777777" w:rsidR="00991D23" w:rsidRPr="00991D23" w:rsidRDefault="00991D23" w:rsidP="00C202FF">
            <w:pPr>
              <w:spacing w:after="60" w:line="259" w:lineRule="auto"/>
              <w:jc w:val="center"/>
            </w:pPr>
            <w:r w:rsidRPr="00991D23">
              <w:t>43%</w:t>
            </w:r>
          </w:p>
        </w:tc>
      </w:tr>
      <w:tr w:rsidR="00991D23" w:rsidRPr="00991D23" w14:paraId="00858120" w14:textId="77777777" w:rsidTr="00667F88">
        <w:trPr>
          <w:trHeight w:val="283"/>
          <w:jc w:val="center"/>
        </w:trPr>
        <w:tc>
          <w:tcPr>
            <w:tcW w:w="1838" w:type="dxa"/>
          </w:tcPr>
          <w:p w14:paraId="43960F32" w14:textId="77777777" w:rsidR="00991D23" w:rsidRPr="00991D23" w:rsidRDefault="00991D23" w:rsidP="00C202FF">
            <w:pPr>
              <w:spacing w:after="60" w:line="259" w:lineRule="auto"/>
            </w:pPr>
            <w:r w:rsidRPr="00991D23">
              <w:t>$65–$75 / hour</w:t>
            </w:r>
          </w:p>
        </w:tc>
        <w:tc>
          <w:tcPr>
            <w:tcW w:w="2410" w:type="dxa"/>
          </w:tcPr>
          <w:p w14:paraId="6ED1C528" w14:textId="77777777" w:rsidR="00991D23" w:rsidRPr="00991D23" w:rsidRDefault="00991D23" w:rsidP="00C202FF">
            <w:pPr>
              <w:spacing w:after="60" w:line="259" w:lineRule="auto"/>
              <w:jc w:val="center"/>
            </w:pPr>
            <w:r w:rsidRPr="00991D23">
              <w:t>11%</w:t>
            </w:r>
          </w:p>
        </w:tc>
      </w:tr>
      <w:tr w:rsidR="00991D23" w:rsidRPr="00991D23" w14:paraId="75E6DE3B" w14:textId="77777777" w:rsidTr="00667F88">
        <w:trPr>
          <w:trHeight w:val="283"/>
          <w:jc w:val="center"/>
        </w:trPr>
        <w:tc>
          <w:tcPr>
            <w:tcW w:w="1838" w:type="dxa"/>
          </w:tcPr>
          <w:p w14:paraId="1CB76A31" w14:textId="77777777" w:rsidR="00991D23" w:rsidRPr="00991D23" w:rsidRDefault="00991D23" w:rsidP="00C202FF">
            <w:pPr>
              <w:spacing w:after="60" w:line="259" w:lineRule="auto"/>
            </w:pPr>
            <w:r w:rsidRPr="00991D23">
              <w:t>Per Page Rate</w:t>
            </w:r>
          </w:p>
        </w:tc>
        <w:tc>
          <w:tcPr>
            <w:tcW w:w="2410" w:type="dxa"/>
          </w:tcPr>
          <w:p w14:paraId="43718ACE" w14:textId="77777777" w:rsidR="00991D23" w:rsidRPr="00991D23" w:rsidRDefault="00991D23" w:rsidP="00C202FF">
            <w:pPr>
              <w:spacing w:after="60" w:line="259" w:lineRule="auto"/>
              <w:jc w:val="center"/>
            </w:pPr>
            <w:r w:rsidRPr="00991D23">
              <w:t>3%</w:t>
            </w:r>
          </w:p>
        </w:tc>
      </w:tr>
    </w:tbl>
    <w:p w14:paraId="4B163A33" w14:textId="24A2C25D" w:rsidR="00991D23" w:rsidRPr="00991D23" w:rsidRDefault="00991D23" w:rsidP="00991D23"/>
    <w:sectPr w:rsidR="00991D23" w:rsidRPr="00991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80FA" w14:textId="77777777" w:rsidR="00F842DA" w:rsidRDefault="00F842DA" w:rsidP="00991D23">
      <w:pPr>
        <w:spacing w:after="0" w:line="240" w:lineRule="auto"/>
      </w:pPr>
      <w:r>
        <w:separator/>
      </w:r>
    </w:p>
  </w:endnote>
  <w:endnote w:type="continuationSeparator" w:id="0">
    <w:p w14:paraId="253350AC" w14:textId="77777777" w:rsidR="00F842DA" w:rsidRDefault="00F842DA" w:rsidP="0099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2DD0" w14:textId="77777777" w:rsidR="00F842DA" w:rsidRDefault="00F842DA" w:rsidP="00991D23">
      <w:pPr>
        <w:spacing w:after="0" w:line="240" w:lineRule="auto"/>
      </w:pPr>
      <w:r>
        <w:separator/>
      </w:r>
    </w:p>
  </w:footnote>
  <w:footnote w:type="continuationSeparator" w:id="0">
    <w:p w14:paraId="3489D31F" w14:textId="77777777" w:rsidR="00F842DA" w:rsidRDefault="00F842DA" w:rsidP="00991D23">
      <w:pPr>
        <w:spacing w:after="0" w:line="240" w:lineRule="auto"/>
      </w:pPr>
      <w:r>
        <w:continuationSeparator/>
      </w:r>
    </w:p>
  </w:footnote>
  <w:footnote w:id="1">
    <w:p w14:paraId="337B9BCD" w14:textId="77777777" w:rsidR="00991D23" w:rsidRPr="00C65232" w:rsidRDefault="00991D23" w:rsidP="00991D23">
      <w:pPr>
        <w:pStyle w:val="FootnoteText"/>
        <w:rPr>
          <w:sz w:val="16"/>
          <w:szCs w:val="16"/>
        </w:rPr>
      </w:pPr>
      <w:r>
        <w:rPr>
          <w:rStyle w:val="FootnoteReference"/>
        </w:rPr>
        <w:footnoteRef/>
      </w:r>
      <w:r>
        <w:t xml:space="preserve"> </w:t>
      </w:r>
      <w:r w:rsidRPr="00C65232">
        <w:rPr>
          <w:sz w:val="16"/>
          <w:szCs w:val="16"/>
        </w:rPr>
        <w:t>Freelancers are defined as a business owner with no employees who may subcontract from time to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27CBF"/>
    <w:multiLevelType w:val="hybridMultilevel"/>
    <w:tmpl w:val="FA1E15BC"/>
    <w:lvl w:ilvl="0" w:tplc="B6F6A8A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964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23"/>
    <w:rsid w:val="00122D9A"/>
    <w:rsid w:val="00281324"/>
    <w:rsid w:val="003A00A8"/>
    <w:rsid w:val="00464465"/>
    <w:rsid w:val="004E2DBD"/>
    <w:rsid w:val="00516BF7"/>
    <w:rsid w:val="005B25E7"/>
    <w:rsid w:val="0060306B"/>
    <w:rsid w:val="00627773"/>
    <w:rsid w:val="0065001C"/>
    <w:rsid w:val="00667F88"/>
    <w:rsid w:val="006C0CB4"/>
    <w:rsid w:val="006D65EE"/>
    <w:rsid w:val="007159BA"/>
    <w:rsid w:val="00725312"/>
    <w:rsid w:val="007B0F16"/>
    <w:rsid w:val="00823745"/>
    <w:rsid w:val="00991D23"/>
    <w:rsid w:val="00A517C1"/>
    <w:rsid w:val="00AC4409"/>
    <w:rsid w:val="00B3020A"/>
    <w:rsid w:val="00B607E9"/>
    <w:rsid w:val="00B8566D"/>
    <w:rsid w:val="00C202FF"/>
    <w:rsid w:val="00C6355D"/>
    <w:rsid w:val="00C65232"/>
    <w:rsid w:val="00CB3593"/>
    <w:rsid w:val="00DE0827"/>
    <w:rsid w:val="00F521E0"/>
    <w:rsid w:val="00F842DA"/>
    <w:rsid w:val="00F93345"/>
    <w:rsid w:val="00FC7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7713"/>
  <w15:chartTrackingRefBased/>
  <w15:docId w15:val="{33E7C245-CC3C-444C-8F79-A55185A9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new">
    <w:name w:val="Italics new"/>
    <w:basedOn w:val="DefaultParagraphFont"/>
    <w:uiPriority w:val="1"/>
    <w:qFormat/>
    <w:rsid w:val="00B3020A"/>
    <w:rPr>
      <w:i/>
      <w:sz w:val="18"/>
      <w:szCs w:val="18"/>
    </w:rPr>
  </w:style>
  <w:style w:type="table" w:styleId="TableGrid">
    <w:name w:val="Table Grid"/>
    <w:basedOn w:val="TableNormal"/>
    <w:uiPriority w:val="39"/>
    <w:rsid w:val="00991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1D2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91D23"/>
    <w:rPr>
      <w:rFonts w:ascii="Times New Roman" w:hAnsi="Times New Roman"/>
      <w:sz w:val="20"/>
      <w:szCs w:val="20"/>
    </w:rPr>
  </w:style>
  <w:style w:type="character" w:styleId="FootnoteReference">
    <w:name w:val="footnote reference"/>
    <w:basedOn w:val="DefaultParagraphFont"/>
    <w:uiPriority w:val="99"/>
    <w:semiHidden/>
    <w:unhideWhenUsed/>
    <w:rsid w:val="00991D23"/>
    <w:rPr>
      <w:vertAlign w:val="superscript"/>
    </w:rPr>
  </w:style>
  <w:style w:type="paragraph" w:styleId="ListParagraph">
    <w:name w:val="List Paragraph"/>
    <w:basedOn w:val="Normal"/>
    <w:uiPriority w:val="34"/>
    <w:qFormat/>
    <w:rsid w:val="00725312"/>
    <w:pPr>
      <w:ind w:left="720"/>
      <w:contextualSpacing/>
    </w:pPr>
  </w:style>
  <w:style w:type="paragraph" w:styleId="Revision">
    <w:name w:val="Revision"/>
    <w:hidden/>
    <w:uiPriority w:val="99"/>
    <w:semiHidden/>
    <w:rsid w:val="00516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Jolanta N. Komornicka</cp:lastModifiedBy>
  <cp:revision>4</cp:revision>
  <dcterms:created xsi:type="dcterms:W3CDTF">2023-06-02T15:28:00Z</dcterms:created>
  <dcterms:modified xsi:type="dcterms:W3CDTF">2023-06-02T15:45:00Z</dcterms:modified>
</cp:coreProperties>
</file>